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9B72" w14:textId="3A0269FB" w:rsidR="00A03F35" w:rsidRDefault="00A03F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86224" wp14:editId="18EE782D">
                <wp:simplePos x="0" y="0"/>
                <wp:positionH relativeFrom="column">
                  <wp:posOffset>-142875</wp:posOffset>
                </wp:positionH>
                <wp:positionV relativeFrom="paragraph">
                  <wp:posOffset>-73660</wp:posOffset>
                </wp:positionV>
                <wp:extent cx="6010275" cy="1390650"/>
                <wp:effectExtent l="57150" t="57150" r="66675" b="571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390650"/>
                        </a:xfrm>
                        <a:prstGeom prst="rect">
                          <a:avLst/>
                        </a:prstGeom>
                        <a:solidFill>
                          <a:srgbClr val="6699FF">
                            <a:alpha val="61176"/>
                          </a:srgbClr>
                        </a:solidFill>
                        <a:ln w="34925">
                          <a:solidFill>
                            <a:schemeClr val="bg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14:paraId="2306FD19" w14:textId="372437EA" w:rsidR="000F27F2" w:rsidRPr="00127577" w:rsidRDefault="000F27F2" w:rsidP="00127577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7F2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>
                                      <w14:alpha w14:val="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Bit</w:t>
                            </w:r>
                            <w:r w:rsidR="0012757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>
                                      <w14:alpha w14:val="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0F27F2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>
                                      <w14:alpha w14:val="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afe Train-the-Trainer</w:t>
                            </w:r>
                            <w:r w:rsidR="00A03F3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>
                                      <w14:alpha w14:val="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C20B82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>
                                      <w14:alpha w14:val="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 – 16 November</w:t>
                            </w:r>
                            <w:r w:rsidR="00A03F3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>
                                      <w14:alpha w14:val="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  <w:r w:rsidR="00A03F3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>
                                      <w14:alpha w14:val="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EB4C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>
                                      <w14:alpha w14:val="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 w:rsidR="0026016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>
                                      <w14:alpha w14:val="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(via ZOOM)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8622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1.25pt;margin-top:-5.8pt;width:473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" fillcolor="#69f" strokecolor="white [3212]" strokeweight="2.75pt">
                <v:fill opacity="40092f"/>
                <v:textbox>
                  <w:txbxContent>
                    <w:p w14:paraId="2306FD19" w14:textId="372437EA" w:rsidR="000F27F2" w:rsidRPr="00127577" w:rsidRDefault="000F27F2" w:rsidP="00127577">
                      <w:pPr>
                        <w:shd w:val="clear" w:color="auto" w:fill="17365D" w:themeFill="text2" w:themeFillShade="BF"/>
                        <w:jc w:val="center"/>
                        <w:rPr>
                          <w:color w:val="4F81BD" w:themeColor="accent1"/>
                          <w:sz w:val="32"/>
                          <w:szCs w:val="3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7F2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>
                                <w14:alpha w14:val="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Bit</w:t>
                      </w:r>
                      <w:r w:rsidR="00127577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>
                                <w14:alpha w14:val="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0F27F2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>
                                <w14:alpha w14:val="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afe Train-the-Trainer</w:t>
                      </w:r>
                      <w:r w:rsidR="00A03F35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>
                                <w14:alpha w14:val="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C20B82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>
                                <w14:alpha w14:val="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14 – 16 November</w:t>
                      </w:r>
                      <w:r w:rsidR="00A03F35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>
                                <w14:alpha w14:val="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  <w:r w:rsidR="00A03F35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>
                                <w14:alpha w14:val="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EB4C24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>
                                <w14:alpha w14:val="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 w:rsidR="0026016A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>
                                <w14:alpha w14:val="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(via ZOOM) </w:t>
                      </w:r>
                    </w:p>
                  </w:txbxContent>
                </v:textbox>
              </v:shape>
            </w:pict>
          </mc:Fallback>
        </mc:AlternateContent>
      </w:r>
    </w:p>
    <w:p w14:paraId="25265090" w14:textId="7DE68B5D" w:rsidR="00A03F35" w:rsidRDefault="00A03F35"/>
    <w:p w14:paraId="2C2B34C7" w14:textId="570AA333" w:rsidR="00A03F35" w:rsidRDefault="00A03F35"/>
    <w:p w14:paraId="2C3F72FC" w14:textId="3155AD8C" w:rsidR="00A03F35" w:rsidRDefault="00A03F35"/>
    <w:tbl>
      <w:tblPr>
        <w:tblStyle w:val="TableGrid"/>
        <w:tblW w:w="94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3"/>
      </w:tblGrid>
      <w:tr w:rsidR="00CD429D" w:rsidRPr="00CD429D" w14:paraId="7FF63C4F" w14:textId="77777777" w:rsidTr="00256EA9">
        <w:trPr>
          <w:jc w:val="center"/>
        </w:trPr>
        <w:tc>
          <w:tcPr>
            <w:tcW w:w="9433" w:type="dxa"/>
          </w:tcPr>
          <w:p w14:paraId="3FBE3B50" w14:textId="7D149F1A" w:rsidR="00A03F35" w:rsidRDefault="00A03F35" w:rsidP="005B4261">
            <w:pPr>
              <w:jc w:val="center"/>
            </w:pPr>
          </w:p>
        </w:tc>
      </w:tr>
      <w:tr w:rsidR="00912DED" w:rsidRPr="00A03F35" w14:paraId="20F4875E" w14:textId="77777777" w:rsidTr="00256EA9">
        <w:trPr>
          <w:jc w:val="center"/>
        </w:trPr>
        <w:tc>
          <w:tcPr>
            <w:tcW w:w="9433" w:type="dxa"/>
          </w:tcPr>
          <w:p w14:paraId="05BEA918" w14:textId="1B28A6ED" w:rsidR="00BE1BFD" w:rsidRPr="00A03F35" w:rsidRDefault="00256EA9" w:rsidP="00586052">
            <w:pPr>
              <w:jc w:val="both"/>
              <w:rPr>
                <w:rFonts w:ascii="Georgia" w:eastAsia="Times New Roman" w:hAnsi="Georgia" w:cs="Times New Roman"/>
                <w:b/>
                <w:sz w:val="20"/>
                <w:szCs w:val="20"/>
                <w:shd w:val="clear" w:color="auto" w:fill="17365D" w:themeFill="text2" w:themeFillShade="BF"/>
              </w:rPr>
            </w:pPr>
            <w:r w:rsidRPr="00A03F3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 wp14:anchorId="34F1CAAF" wp14:editId="71F63C22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19050</wp:posOffset>
                  </wp:positionV>
                  <wp:extent cx="1181100" cy="1193800"/>
                  <wp:effectExtent l="0" t="0" r="0" b="635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DED" w:rsidRPr="00A03F35">
              <w:rPr>
                <w:rFonts w:ascii="Georgia" w:hAnsi="Georgia"/>
                <w:i/>
                <w:sz w:val="20"/>
                <w:szCs w:val="20"/>
              </w:rPr>
              <w:t>The safe handling of liquid bitumen remains a priority within the bituminous products industry</w:t>
            </w:r>
            <w:r w:rsidR="007F7730" w:rsidRPr="00A03F35">
              <w:rPr>
                <w:rFonts w:ascii="Georgia" w:hAnsi="Georgia"/>
                <w:i/>
                <w:sz w:val="20"/>
                <w:szCs w:val="20"/>
              </w:rPr>
              <w:t xml:space="preserve">. </w:t>
            </w:r>
            <w:r w:rsidR="00912DED" w:rsidRPr="00A03F35">
              <w:rPr>
                <w:rFonts w:ascii="Georgia" w:hAnsi="Georgia"/>
                <w:i/>
                <w:sz w:val="20"/>
                <w:szCs w:val="20"/>
              </w:rPr>
              <w:t xml:space="preserve"> Sabita </w:t>
            </w:r>
            <w:r w:rsidR="007F7730" w:rsidRPr="00A03F35">
              <w:rPr>
                <w:rFonts w:ascii="Georgia" w:hAnsi="Georgia"/>
                <w:i/>
                <w:sz w:val="20"/>
                <w:szCs w:val="20"/>
              </w:rPr>
              <w:t>has, through</w:t>
            </w:r>
            <w:r w:rsidR="00912DED" w:rsidRPr="00A03F35">
              <w:rPr>
                <w:rFonts w:ascii="Georgia" w:hAnsi="Georgia"/>
                <w:i/>
                <w:sz w:val="20"/>
                <w:szCs w:val="20"/>
              </w:rPr>
              <w:t xml:space="preserve"> its Health and Safety Focal </w:t>
            </w:r>
            <w:r w:rsidR="00EB6D9A" w:rsidRPr="00A03F35">
              <w:rPr>
                <w:rFonts w:ascii="Georgia" w:hAnsi="Georgia"/>
                <w:i/>
                <w:sz w:val="20"/>
                <w:szCs w:val="20"/>
              </w:rPr>
              <w:t>Point, developed</w:t>
            </w:r>
            <w:r w:rsidR="00912DED" w:rsidRPr="00A03F35">
              <w:rPr>
                <w:rFonts w:ascii="Georgia" w:hAnsi="Georgia"/>
                <w:i/>
                <w:sz w:val="20"/>
                <w:szCs w:val="20"/>
              </w:rPr>
              <w:t xml:space="preserve"> several tools to assist industry to become more compliant with current H</w:t>
            </w:r>
            <w:r w:rsidR="007F7730" w:rsidRPr="00A03F35">
              <w:rPr>
                <w:rFonts w:ascii="Georgia" w:hAnsi="Georgia"/>
                <w:i/>
                <w:sz w:val="20"/>
                <w:szCs w:val="20"/>
              </w:rPr>
              <w:t xml:space="preserve">ealth and </w:t>
            </w:r>
            <w:r w:rsidR="00EB6D9A" w:rsidRPr="00A03F35">
              <w:rPr>
                <w:rFonts w:ascii="Georgia" w:hAnsi="Georgia"/>
                <w:i/>
                <w:sz w:val="20"/>
                <w:szCs w:val="20"/>
              </w:rPr>
              <w:t>Safety legislation</w:t>
            </w:r>
            <w:r w:rsidR="00912DED" w:rsidRPr="00A03F35">
              <w:rPr>
                <w:rFonts w:ascii="Georgia" w:hAnsi="Georgia"/>
                <w:i/>
                <w:sz w:val="20"/>
                <w:szCs w:val="20"/>
              </w:rPr>
              <w:t xml:space="preserve">. </w:t>
            </w:r>
            <w:r w:rsidR="00CB349A" w:rsidRPr="00A03F35">
              <w:rPr>
                <w:rFonts w:ascii="Georgia" w:hAnsi="Georgia"/>
                <w:i/>
                <w:sz w:val="20"/>
                <w:szCs w:val="20"/>
              </w:rPr>
              <w:t>One of these tools, the Bit</w:t>
            </w:r>
            <w:r w:rsidR="00CB349A" w:rsidRPr="00A03F35">
              <w:rPr>
                <w:rFonts w:ascii="Georgia" w:hAnsi="Georgia"/>
                <w:b/>
                <w:i/>
                <w:sz w:val="20"/>
                <w:szCs w:val="20"/>
              </w:rPr>
              <w:t>S</w:t>
            </w:r>
            <w:r w:rsidR="00CB349A" w:rsidRPr="00A03F35">
              <w:rPr>
                <w:rFonts w:ascii="Georgia" w:hAnsi="Georgia"/>
                <w:i/>
                <w:sz w:val="20"/>
                <w:szCs w:val="20"/>
              </w:rPr>
              <w:t>afe</w:t>
            </w:r>
            <w:r w:rsidR="00BE1BFD" w:rsidRPr="00A03F35">
              <w:rPr>
                <w:rFonts w:ascii="Georgia" w:hAnsi="Georgia"/>
                <w:i/>
                <w:sz w:val="20"/>
                <w:szCs w:val="20"/>
              </w:rPr>
              <w:t xml:space="preserve"> Train-the-Trainer </w:t>
            </w:r>
            <w:r w:rsidR="001641E6" w:rsidRPr="00A03F35">
              <w:rPr>
                <w:rFonts w:ascii="Georgia" w:hAnsi="Georgia"/>
                <w:i/>
                <w:sz w:val="20"/>
                <w:szCs w:val="20"/>
              </w:rPr>
              <w:t>course, has</w:t>
            </w:r>
            <w:r w:rsidR="00CB349A" w:rsidRPr="00A03F35">
              <w:rPr>
                <w:rFonts w:ascii="Georgia" w:hAnsi="Georgia"/>
                <w:i/>
                <w:sz w:val="20"/>
                <w:szCs w:val="20"/>
              </w:rPr>
              <w:t xml:space="preserve"> been very favourably received since its introduction and continues to create an awareness of the risks associated with bituminous products</w:t>
            </w:r>
            <w:r w:rsidR="00BE1BFD" w:rsidRPr="00A03F35">
              <w:rPr>
                <w:rFonts w:ascii="Georgia" w:hAnsi="Georgia"/>
                <w:i/>
                <w:sz w:val="20"/>
                <w:szCs w:val="20"/>
              </w:rPr>
              <w:t xml:space="preserve">. </w:t>
            </w:r>
          </w:p>
          <w:p w14:paraId="142CBE21" w14:textId="55CB00B9" w:rsidR="00EB4C24" w:rsidRPr="00A03F35" w:rsidRDefault="00EB4C24" w:rsidP="000F27F2">
            <w:pPr>
              <w:ind w:left="142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</w:pPr>
          </w:p>
          <w:p w14:paraId="0B21BB42" w14:textId="2820BC95" w:rsidR="00ED6CF7" w:rsidRPr="00256EA9" w:rsidRDefault="00ED6CF7" w:rsidP="000F27F2">
            <w:pPr>
              <w:ind w:left="142"/>
              <w:jc w:val="center"/>
              <w:rPr>
                <w:rFonts w:ascii="Georgia" w:eastAsia="Times New Roman" w:hAnsi="Georgia" w:cs="Times New Roman"/>
                <w:b/>
                <w:iCs/>
                <w:sz w:val="20"/>
                <w:szCs w:val="20"/>
              </w:rPr>
            </w:pPr>
            <w:r w:rsidRPr="00256EA9">
              <w:rPr>
                <w:rFonts w:ascii="Georgia" w:eastAsia="Times New Roman" w:hAnsi="Georgia" w:cs="Times New Roman"/>
                <w:b/>
                <w:iCs/>
                <w:sz w:val="20"/>
                <w:szCs w:val="20"/>
              </w:rPr>
              <w:t>The cost for Sabita members is R</w:t>
            </w:r>
            <w:r w:rsidR="00EB4C24" w:rsidRPr="00256EA9">
              <w:rPr>
                <w:rFonts w:ascii="Georgia" w:eastAsia="Times New Roman" w:hAnsi="Georgia" w:cs="Times New Roman"/>
                <w:b/>
                <w:iCs/>
                <w:sz w:val="20"/>
                <w:szCs w:val="20"/>
              </w:rPr>
              <w:t>724</w:t>
            </w:r>
            <w:r w:rsidRPr="00256EA9">
              <w:rPr>
                <w:rFonts w:ascii="Georgia" w:eastAsia="Times New Roman" w:hAnsi="Georgia" w:cs="Times New Roman"/>
                <w:b/>
                <w:iCs/>
                <w:sz w:val="20"/>
                <w:szCs w:val="20"/>
              </w:rPr>
              <w:t xml:space="preserve">0/non-members </w:t>
            </w:r>
            <w:r w:rsidR="00EB4C24" w:rsidRPr="00256EA9">
              <w:rPr>
                <w:rFonts w:ascii="Georgia" w:eastAsia="Times New Roman" w:hAnsi="Georgia" w:cs="Times New Roman"/>
                <w:b/>
                <w:iCs/>
                <w:sz w:val="20"/>
                <w:szCs w:val="20"/>
              </w:rPr>
              <w:t>R8250</w:t>
            </w:r>
            <w:r w:rsidRPr="00256EA9">
              <w:rPr>
                <w:rFonts w:ascii="Georgia" w:eastAsia="Times New Roman" w:hAnsi="Georgia" w:cs="Times New Roman"/>
                <w:b/>
                <w:iCs/>
                <w:sz w:val="20"/>
                <w:szCs w:val="20"/>
              </w:rPr>
              <w:t xml:space="preserve"> (</w:t>
            </w:r>
            <w:proofErr w:type="spellStart"/>
            <w:r w:rsidRPr="00256EA9">
              <w:rPr>
                <w:rFonts w:ascii="Georgia" w:eastAsia="Times New Roman" w:hAnsi="Georgia" w:cs="Times New Roman"/>
                <w:b/>
                <w:iCs/>
                <w:sz w:val="20"/>
                <w:szCs w:val="20"/>
              </w:rPr>
              <w:t>in</w:t>
            </w:r>
            <w:r w:rsidR="00256EA9">
              <w:rPr>
                <w:rFonts w:ascii="Georgia" w:eastAsia="Times New Roman" w:hAnsi="Georgia" w:cs="Times New Roman"/>
                <w:b/>
                <w:iCs/>
                <w:sz w:val="20"/>
                <w:szCs w:val="20"/>
              </w:rPr>
              <w:t>c</w:t>
            </w:r>
            <w:proofErr w:type="spellEnd"/>
            <w:r w:rsidRPr="00256EA9">
              <w:rPr>
                <w:rFonts w:ascii="Georgia" w:eastAsia="Times New Roman" w:hAnsi="Georgia" w:cs="Times New Roman"/>
                <w:b/>
                <w:iCs/>
                <w:sz w:val="20"/>
                <w:szCs w:val="20"/>
              </w:rPr>
              <w:t xml:space="preserve"> VAT)</w:t>
            </w:r>
          </w:p>
          <w:p w14:paraId="4CCFC6F0" w14:textId="77777777" w:rsidR="00B64B0B" w:rsidRPr="00A03F35" w:rsidRDefault="00B64B0B" w:rsidP="00EB6D9A">
            <w:pPr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14:paraId="219ED8FE" w14:textId="77777777" w:rsidR="00671971" w:rsidRPr="00A03F35" w:rsidRDefault="00671971" w:rsidP="00EB6D9A">
            <w:pPr>
              <w:shd w:val="clear" w:color="auto" w:fill="17365D" w:themeFill="text2" w:themeFillShade="BF"/>
              <w:ind w:right="30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</w:p>
          <w:p w14:paraId="5B59C84A" w14:textId="7F3D1F73" w:rsidR="00671971" w:rsidRPr="00A03F35" w:rsidRDefault="00B64B0B" w:rsidP="00EB6D9A">
            <w:pPr>
              <w:shd w:val="clear" w:color="auto" w:fill="17365D" w:themeFill="text2" w:themeFillShade="BF"/>
              <w:ind w:right="30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03F35">
              <w:rPr>
                <w:rFonts w:ascii="Georgia" w:eastAsia="Times New Roman" w:hAnsi="Georgia" w:cs="Times New Roman"/>
                <w:b/>
                <w:i/>
                <w:iCs/>
                <w:sz w:val="20"/>
                <w:szCs w:val="20"/>
              </w:rPr>
              <w:t xml:space="preserve">The </w:t>
            </w:r>
            <w:r w:rsidR="00E54C81" w:rsidRPr="00A03F35">
              <w:rPr>
                <w:rFonts w:ascii="Georgia" w:eastAsia="Times New Roman" w:hAnsi="Georgia" w:cs="Times New Roman"/>
                <w:b/>
                <w:i/>
                <w:iCs/>
                <w:sz w:val="20"/>
                <w:szCs w:val="20"/>
              </w:rPr>
              <w:t xml:space="preserve">BitSafe </w:t>
            </w:r>
            <w:r w:rsidRPr="00A03F35">
              <w:rPr>
                <w:rFonts w:ascii="Georgia" w:eastAsia="Times New Roman" w:hAnsi="Georgia" w:cs="Times New Roman"/>
                <w:b/>
                <w:i/>
                <w:iCs/>
                <w:sz w:val="20"/>
                <w:szCs w:val="20"/>
              </w:rPr>
              <w:t xml:space="preserve">course </w:t>
            </w:r>
            <w:r w:rsidR="00E54C81" w:rsidRPr="00A03F35">
              <w:rPr>
                <w:rFonts w:ascii="Georgia" w:eastAsia="Times New Roman" w:hAnsi="Georgia" w:cs="Times New Roman"/>
                <w:b/>
                <w:i/>
                <w:iCs/>
                <w:sz w:val="20"/>
                <w:szCs w:val="20"/>
              </w:rPr>
              <w:t>is</w:t>
            </w:r>
            <w:r w:rsidRPr="00A03F35">
              <w:rPr>
                <w:rFonts w:ascii="Georgia" w:eastAsia="Times New Roman" w:hAnsi="Georgia" w:cs="Times New Roman"/>
                <w:b/>
                <w:i/>
                <w:iCs/>
                <w:sz w:val="20"/>
                <w:szCs w:val="20"/>
              </w:rPr>
              <w:t xml:space="preserve"> divided into 13 </w:t>
            </w:r>
            <w:r w:rsidR="00BE1BFD" w:rsidRPr="00A03F35">
              <w:rPr>
                <w:rFonts w:ascii="Georgia" w:eastAsia="Times New Roman" w:hAnsi="Georgia" w:cs="Times New Roman"/>
                <w:b/>
                <w:i/>
                <w:iCs/>
                <w:sz w:val="20"/>
                <w:szCs w:val="20"/>
              </w:rPr>
              <w:t>Modules and</w:t>
            </w:r>
            <w:r w:rsidR="00671971" w:rsidRPr="00A03F35">
              <w:rPr>
                <w:rFonts w:ascii="Georgia" w:eastAsia="Times New Roman" w:hAnsi="Georgia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03F35">
              <w:rPr>
                <w:rFonts w:ascii="Georgia" w:eastAsia="Times New Roman" w:hAnsi="Georgia" w:cs="Times New Roman"/>
                <w:b/>
                <w:i/>
                <w:iCs/>
                <w:sz w:val="20"/>
                <w:szCs w:val="20"/>
              </w:rPr>
              <w:t>covers the following topics</w:t>
            </w:r>
            <w:r w:rsidRPr="00A03F35">
              <w:rPr>
                <w:rFonts w:ascii="Georgia" w:eastAsia="Times New Roman" w:hAnsi="Georgia" w:cs="Times New Roman"/>
                <w:sz w:val="20"/>
                <w:szCs w:val="20"/>
              </w:rPr>
              <w:t>:</w:t>
            </w:r>
          </w:p>
          <w:p w14:paraId="66EC7BC1" w14:textId="77777777" w:rsidR="0006098E" w:rsidRPr="00A03F35" w:rsidRDefault="0006098E" w:rsidP="00EB6D9A">
            <w:pPr>
              <w:shd w:val="clear" w:color="auto" w:fill="17365D" w:themeFill="text2" w:themeFillShade="BF"/>
              <w:ind w:right="30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tbl>
            <w:tblPr>
              <w:tblStyle w:val="TableGrid"/>
              <w:tblW w:w="12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6"/>
              <w:gridCol w:w="5842"/>
              <w:gridCol w:w="1969"/>
            </w:tblGrid>
            <w:tr w:rsidR="00127577" w:rsidRPr="00A03F35" w14:paraId="19A2252A" w14:textId="77777777" w:rsidTr="0006098E">
              <w:tc>
                <w:tcPr>
                  <w:tcW w:w="4506" w:type="dxa"/>
                </w:tcPr>
                <w:p w14:paraId="653279A7" w14:textId="60E16C0C" w:rsidR="00BA6659" w:rsidRPr="00A03F35" w:rsidRDefault="00BA6659" w:rsidP="00111B48">
                  <w:pPr>
                    <w:tabs>
                      <w:tab w:val="left" w:pos="4261"/>
                    </w:tabs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Module 1</w:t>
                  </w:r>
                  <w:r w:rsidR="00B64B0B"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 xml:space="preserve"> - Understanding</w:t>
                  </w: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B64B0B"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your Industry</w:t>
                  </w:r>
                </w:p>
              </w:tc>
              <w:tc>
                <w:tcPr>
                  <w:tcW w:w="7811" w:type="dxa"/>
                  <w:gridSpan w:val="2"/>
                </w:tcPr>
                <w:p w14:paraId="7FF3A47E" w14:textId="02DCF5EA" w:rsidR="00B64B0B" w:rsidRPr="00A03F35" w:rsidRDefault="00B64B0B" w:rsidP="00111B48">
                  <w:pPr>
                    <w:shd w:val="clear" w:color="auto" w:fill="FFFFFF" w:themeFill="background1"/>
                    <w:tabs>
                      <w:tab w:val="left" w:pos="4261"/>
                    </w:tabs>
                    <w:ind w:right="1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 xml:space="preserve">Module 7 </w:t>
                  </w:r>
                  <w:r w:rsidR="007F7730"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- Loading</w:t>
                  </w: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 xml:space="preserve"> of liquid </w:t>
                  </w:r>
                  <w:r w:rsidR="00160134"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bitumen</w:t>
                  </w:r>
                </w:p>
                <w:p w14:paraId="5C71ED1C" w14:textId="77777777" w:rsidR="00BA6659" w:rsidRPr="00A03F35" w:rsidRDefault="00BA6659" w:rsidP="00111B48">
                  <w:pPr>
                    <w:tabs>
                      <w:tab w:val="left" w:pos="4261"/>
                    </w:tabs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27577" w:rsidRPr="00A03F35" w14:paraId="2F53ED24" w14:textId="77777777" w:rsidTr="0006098E">
              <w:tc>
                <w:tcPr>
                  <w:tcW w:w="4506" w:type="dxa"/>
                </w:tcPr>
                <w:p w14:paraId="05226DF5" w14:textId="6D08202F" w:rsidR="00BA6659" w:rsidRPr="00A03F35" w:rsidRDefault="00BA6659" w:rsidP="00111B48">
                  <w:pPr>
                    <w:shd w:val="clear" w:color="auto" w:fill="FFFFFF" w:themeFill="background1"/>
                    <w:tabs>
                      <w:tab w:val="left" w:pos="4261"/>
                    </w:tabs>
                    <w:ind w:left="-30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Module 2</w:t>
                  </w:r>
                  <w:r w:rsidR="00B64B0B"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(a)</w:t>
                  </w:r>
                  <w:r w:rsidR="00B64B0B"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 xml:space="preserve"> – </w:t>
                  </w: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Hazards</w:t>
                  </w:r>
                  <w:r w:rsidR="00B64B0B"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Genera</w:t>
                  </w:r>
                  <w:r w:rsidR="00B64B0B"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l</w:t>
                  </w:r>
                </w:p>
                <w:p w14:paraId="7C787580" w14:textId="77777777" w:rsidR="00BA6659" w:rsidRPr="00A03F35" w:rsidRDefault="00BA6659" w:rsidP="00111B48">
                  <w:pPr>
                    <w:tabs>
                      <w:tab w:val="left" w:pos="4261"/>
                    </w:tabs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811" w:type="dxa"/>
                  <w:gridSpan w:val="2"/>
                </w:tcPr>
                <w:p w14:paraId="63FFC464" w14:textId="77777777" w:rsidR="00B64B0B" w:rsidRPr="00A03F35" w:rsidRDefault="00B64B0B" w:rsidP="00111B48">
                  <w:pPr>
                    <w:shd w:val="clear" w:color="auto" w:fill="FFFFFF" w:themeFill="background1"/>
                    <w:tabs>
                      <w:tab w:val="left" w:pos="4261"/>
                    </w:tabs>
                    <w:ind w:right="1" w:hanging="29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Module 8 – Transport of Bitumen</w:t>
                  </w:r>
                </w:p>
                <w:p w14:paraId="3440A703" w14:textId="77777777" w:rsidR="00BA6659" w:rsidRPr="00A03F35" w:rsidRDefault="00BA6659" w:rsidP="00111B48">
                  <w:pPr>
                    <w:tabs>
                      <w:tab w:val="left" w:pos="4261"/>
                    </w:tabs>
                    <w:ind w:right="1" w:hanging="29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27577" w:rsidRPr="00A03F35" w14:paraId="02BFE60E" w14:textId="77777777" w:rsidTr="0006098E">
              <w:tc>
                <w:tcPr>
                  <w:tcW w:w="4506" w:type="dxa"/>
                </w:tcPr>
                <w:p w14:paraId="022F2393" w14:textId="7315CFA5" w:rsidR="00BA6659" w:rsidRPr="00A03F35" w:rsidRDefault="00BA6659" w:rsidP="00111B48">
                  <w:pPr>
                    <w:shd w:val="clear" w:color="auto" w:fill="FFFFFF" w:themeFill="background1"/>
                    <w:tabs>
                      <w:tab w:val="left" w:pos="4261"/>
                    </w:tabs>
                    <w:ind w:left="-30" w:right="75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Module 2 (b) – Hazards – Fire Prevention</w:t>
                  </w:r>
                </w:p>
                <w:p w14:paraId="41BD49C2" w14:textId="77777777" w:rsidR="00BA6659" w:rsidRPr="00A03F35" w:rsidRDefault="00BA6659" w:rsidP="00111B48">
                  <w:pPr>
                    <w:tabs>
                      <w:tab w:val="left" w:pos="4261"/>
                    </w:tabs>
                    <w:ind w:left="-30" w:right="75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811" w:type="dxa"/>
                  <w:gridSpan w:val="2"/>
                </w:tcPr>
                <w:p w14:paraId="15C35C7D" w14:textId="48A5C117" w:rsidR="00BA6659" w:rsidRPr="00A03F35" w:rsidRDefault="00B64B0B" w:rsidP="00111B48">
                  <w:pPr>
                    <w:tabs>
                      <w:tab w:val="left" w:pos="4261"/>
                    </w:tabs>
                    <w:ind w:right="1" w:hanging="29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Module 9 – Sampling and Testing</w:t>
                  </w:r>
                </w:p>
              </w:tc>
            </w:tr>
            <w:tr w:rsidR="00127577" w:rsidRPr="00A03F35" w14:paraId="3F719F40" w14:textId="77777777" w:rsidTr="0006098E">
              <w:tc>
                <w:tcPr>
                  <w:tcW w:w="4506" w:type="dxa"/>
                </w:tcPr>
                <w:p w14:paraId="6238585B" w14:textId="2AF567E0" w:rsidR="00BA6659" w:rsidRPr="00A03F35" w:rsidRDefault="00BA6659" w:rsidP="00111B48">
                  <w:pPr>
                    <w:shd w:val="clear" w:color="auto" w:fill="FFFFFF" w:themeFill="background1"/>
                    <w:tabs>
                      <w:tab w:val="left" w:pos="4261"/>
                    </w:tabs>
                    <w:ind w:left="-30" w:right="75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 xml:space="preserve">Module 3 </w:t>
                  </w:r>
                  <w:r w:rsidR="00B64B0B"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– Health</w:t>
                  </w: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 xml:space="preserve"> and Safety Awareness</w:t>
                  </w:r>
                </w:p>
                <w:p w14:paraId="16E954DF" w14:textId="77777777" w:rsidR="00BA6659" w:rsidRPr="00A03F35" w:rsidRDefault="00BA6659" w:rsidP="00111B48">
                  <w:pPr>
                    <w:tabs>
                      <w:tab w:val="left" w:pos="4261"/>
                    </w:tabs>
                    <w:ind w:left="-30" w:right="75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811" w:type="dxa"/>
                  <w:gridSpan w:val="2"/>
                </w:tcPr>
                <w:p w14:paraId="2DF7A1EC" w14:textId="77777777" w:rsidR="00B64B0B" w:rsidRPr="00A03F35" w:rsidRDefault="00B64B0B" w:rsidP="00111B48">
                  <w:pPr>
                    <w:shd w:val="clear" w:color="auto" w:fill="FFFFFF" w:themeFill="background1"/>
                    <w:tabs>
                      <w:tab w:val="left" w:pos="4261"/>
                    </w:tabs>
                    <w:ind w:right="1" w:hanging="29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Module 10 - Storage</w:t>
                  </w:r>
                </w:p>
                <w:p w14:paraId="1069A1D2" w14:textId="77777777" w:rsidR="00BA6659" w:rsidRPr="00A03F35" w:rsidRDefault="00BA6659" w:rsidP="00111B48">
                  <w:pPr>
                    <w:tabs>
                      <w:tab w:val="left" w:pos="4261"/>
                    </w:tabs>
                    <w:ind w:right="1" w:hanging="29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27577" w:rsidRPr="00A03F35" w14:paraId="4E3C6756" w14:textId="77777777" w:rsidTr="0006098E">
              <w:tc>
                <w:tcPr>
                  <w:tcW w:w="4506" w:type="dxa"/>
                </w:tcPr>
                <w:p w14:paraId="02C4E9B7" w14:textId="70345004" w:rsidR="00B64B0B" w:rsidRPr="00A03F35" w:rsidRDefault="00B64B0B" w:rsidP="00111B48">
                  <w:pPr>
                    <w:shd w:val="clear" w:color="auto" w:fill="FFFFFF" w:themeFill="background1"/>
                    <w:tabs>
                      <w:tab w:val="left" w:pos="4261"/>
                    </w:tabs>
                    <w:ind w:left="-30" w:right="75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Module 4 – Reducing the Risk</w:t>
                  </w:r>
                </w:p>
                <w:p w14:paraId="075970FA" w14:textId="77777777" w:rsidR="00B64B0B" w:rsidRPr="00A03F35" w:rsidRDefault="00B64B0B" w:rsidP="00111B48">
                  <w:pPr>
                    <w:shd w:val="clear" w:color="auto" w:fill="FFFFFF" w:themeFill="background1"/>
                    <w:tabs>
                      <w:tab w:val="left" w:pos="4261"/>
                    </w:tabs>
                    <w:ind w:left="-30" w:right="75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811" w:type="dxa"/>
                  <w:gridSpan w:val="2"/>
                </w:tcPr>
                <w:p w14:paraId="1DC5AC48" w14:textId="55BC1172" w:rsidR="00B64B0B" w:rsidRPr="00A03F35" w:rsidRDefault="00B64B0B" w:rsidP="00111B48">
                  <w:pPr>
                    <w:shd w:val="clear" w:color="auto" w:fill="FFFFFF" w:themeFill="background1"/>
                    <w:tabs>
                      <w:tab w:val="left" w:pos="4261"/>
                    </w:tabs>
                    <w:ind w:right="1" w:hanging="29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Module 11 - Disposal of Bituminous Waste</w:t>
                  </w:r>
                </w:p>
                <w:p w14:paraId="0D4FECCF" w14:textId="77777777" w:rsidR="00B64B0B" w:rsidRPr="00A03F35" w:rsidRDefault="00B64B0B" w:rsidP="00111B48">
                  <w:pPr>
                    <w:tabs>
                      <w:tab w:val="left" w:pos="4261"/>
                    </w:tabs>
                    <w:ind w:right="1" w:hanging="29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27577" w:rsidRPr="00A03F35" w14:paraId="0FB4230F" w14:textId="77777777" w:rsidTr="0006098E">
              <w:tc>
                <w:tcPr>
                  <w:tcW w:w="4506" w:type="dxa"/>
                </w:tcPr>
                <w:p w14:paraId="1A433312" w14:textId="15741D7B" w:rsidR="00B64B0B" w:rsidRPr="00A03F35" w:rsidRDefault="00B64B0B" w:rsidP="00111B48">
                  <w:pPr>
                    <w:shd w:val="clear" w:color="auto" w:fill="FFFFFF" w:themeFill="background1"/>
                    <w:tabs>
                      <w:tab w:val="left" w:pos="4261"/>
                    </w:tabs>
                    <w:ind w:left="-30" w:right="75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Module 5 – Treatment of Bitumen Burns</w:t>
                  </w:r>
                </w:p>
                <w:p w14:paraId="7F75AF1E" w14:textId="77777777" w:rsidR="00B64B0B" w:rsidRPr="00A03F35" w:rsidRDefault="00B64B0B" w:rsidP="00111B48">
                  <w:pPr>
                    <w:shd w:val="clear" w:color="auto" w:fill="FFFFFF" w:themeFill="background1"/>
                    <w:tabs>
                      <w:tab w:val="left" w:pos="4261"/>
                    </w:tabs>
                    <w:ind w:left="-30" w:right="75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811" w:type="dxa"/>
                  <w:gridSpan w:val="2"/>
                </w:tcPr>
                <w:p w14:paraId="60CC10FA" w14:textId="22329974" w:rsidR="00B64B0B" w:rsidRPr="00A03F35" w:rsidRDefault="00B64B0B" w:rsidP="00111B48">
                  <w:pPr>
                    <w:ind w:right="1" w:hanging="29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Module 12 –</w:t>
                  </w:r>
                  <w:r w:rsidR="00EB4C24"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Application of Bituminous Binders</w:t>
                  </w:r>
                </w:p>
              </w:tc>
            </w:tr>
            <w:tr w:rsidR="00127577" w:rsidRPr="00A03F35" w14:paraId="0140AB47" w14:textId="77777777" w:rsidTr="0006098E">
              <w:trPr>
                <w:gridAfter w:val="1"/>
                <w:wAfter w:w="1969" w:type="dxa"/>
              </w:trPr>
              <w:tc>
                <w:tcPr>
                  <w:tcW w:w="4506" w:type="dxa"/>
                </w:tcPr>
                <w:p w14:paraId="370877AF" w14:textId="24475B6C" w:rsidR="00B64B0B" w:rsidRPr="00A03F35" w:rsidRDefault="00B64B0B" w:rsidP="00111B48">
                  <w:pPr>
                    <w:shd w:val="clear" w:color="auto" w:fill="FFFFFF" w:themeFill="background1"/>
                    <w:tabs>
                      <w:tab w:val="left" w:pos="4261"/>
                    </w:tabs>
                    <w:ind w:right="1371" w:hanging="30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Module 6 – Our Environment</w:t>
                  </w:r>
                </w:p>
                <w:p w14:paraId="57C0AA77" w14:textId="77777777" w:rsidR="00B64B0B" w:rsidRPr="00A03F35" w:rsidRDefault="00B64B0B" w:rsidP="00111B48">
                  <w:pPr>
                    <w:shd w:val="clear" w:color="auto" w:fill="FFFFFF" w:themeFill="background1"/>
                    <w:tabs>
                      <w:tab w:val="left" w:pos="4261"/>
                    </w:tabs>
                    <w:ind w:left="1440" w:right="1371" w:hanging="731"/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42" w:type="dxa"/>
                </w:tcPr>
                <w:p w14:paraId="15588DB2" w14:textId="42DB758D" w:rsidR="00B64B0B" w:rsidRPr="00A03F35" w:rsidRDefault="00533422" w:rsidP="00111B48">
                  <w:pPr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</w:pP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 xml:space="preserve">Module - </w:t>
                  </w:r>
                  <w:r w:rsidR="00247CE2"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 xml:space="preserve">Supplement </w:t>
                  </w:r>
                  <w:r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on</w:t>
                  </w:r>
                  <w:r w:rsidR="00247CE2" w:rsidRPr="00A03F35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 xml:space="preserve"> COVID-19</w:t>
                  </w:r>
                </w:p>
              </w:tc>
            </w:tr>
          </w:tbl>
          <w:p w14:paraId="3818AF2F" w14:textId="77777777" w:rsidR="00503F52" w:rsidRPr="00A03F35" w:rsidRDefault="00503F52" w:rsidP="00503F52">
            <w:pPr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A03F35">
              <w:rPr>
                <w:rFonts w:ascii="Georgia" w:eastAsia="Times New Roman" w:hAnsi="Georgia" w:cs="Times New Roman"/>
                <w:b/>
                <w:sz w:val="20"/>
                <w:szCs w:val="20"/>
                <w:shd w:val="clear" w:color="auto" w:fill="17365D" w:themeFill="text2" w:themeFillShade="BF"/>
              </w:rPr>
              <w:t>Reviews:</w:t>
            </w:r>
            <w:r w:rsidRPr="00A03F35">
              <w:rPr>
                <w:rFonts w:ascii="Georgia" w:eastAsia="Times New Roman" w:hAnsi="Georgia" w:cs="Times New Roman"/>
                <w:sz w:val="20"/>
                <w:szCs w:val="20"/>
              </w:rPr>
              <w:t xml:space="preserve"> “</w:t>
            </w:r>
            <w:r w:rsidRPr="00A03F35">
              <w:rPr>
                <w:rFonts w:ascii="Georgia" w:eastAsia="Times New Roman" w:hAnsi="Georgia" w:cs="Times New Roman"/>
                <w:b/>
                <w:bCs/>
                <w:i/>
                <w:sz w:val="20"/>
                <w:szCs w:val="20"/>
              </w:rPr>
              <w:t>excellent course; facilitator very knowledgeable; can’t wait to put it into practice; the interaction between the delegates was superb</w:t>
            </w:r>
            <w:r w:rsidRPr="00A03F35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; </w:t>
            </w:r>
            <w:r w:rsidRPr="00A03F35">
              <w:rPr>
                <w:rFonts w:ascii="Georgia" w:eastAsia="Times New Roman" w:hAnsi="Georgia" w:cs="Times New Roman"/>
                <w:b/>
                <w:bCs/>
                <w:i/>
                <w:sz w:val="20"/>
                <w:szCs w:val="20"/>
              </w:rPr>
              <w:t>enjoyed the discussions</w:t>
            </w:r>
            <w:r w:rsidRPr="00A03F35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!”</w:t>
            </w:r>
          </w:p>
          <w:p w14:paraId="0F4A7FE2" w14:textId="77777777" w:rsidR="00503F52" w:rsidRPr="00A03F35" w:rsidRDefault="00503F52" w:rsidP="00ED6CF7">
            <w:pPr>
              <w:ind w:left="142"/>
              <w:jc w:val="both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</w:p>
          <w:p w14:paraId="66049446" w14:textId="77777777" w:rsidR="0006098E" w:rsidRPr="00A03F35" w:rsidRDefault="00912DED" w:rsidP="0006098E">
            <w:pPr>
              <w:ind w:left="142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The course material will give </w:t>
            </w:r>
            <w:r w:rsidR="00995D7E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delegates</w:t>
            </w:r>
            <w:r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a broad overview of the bituminous </w:t>
            </w:r>
            <w:r w:rsidR="00D06B7F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industry but</w:t>
            </w:r>
            <w:r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will focus on the </w:t>
            </w:r>
            <w:r w:rsidRPr="00A03F35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szCs w:val="20"/>
              </w:rPr>
              <w:t>safety aspects of each activity</w:t>
            </w:r>
            <w:r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related to the handling of bituminous binders with</w:t>
            </w:r>
            <w:r w:rsidR="00550FFC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the</w:t>
            </w:r>
            <w:r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associated hazards and risks thereof.</w:t>
            </w:r>
            <w:r w:rsidR="00BE1BFD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</w:t>
            </w:r>
            <w:r w:rsidR="00EB4C24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</w:t>
            </w:r>
            <w:r w:rsidR="0006098E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br/>
            </w:r>
          </w:p>
          <w:p w14:paraId="37058391" w14:textId="6F107926" w:rsidR="00751045" w:rsidRPr="00A03F35" w:rsidRDefault="00BE1BFD" w:rsidP="00ED6CF7">
            <w:pPr>
              <w:ind w:left="142"/>
              <w:jc w:val="both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This is a Train-the-Trainer course and aimed at individuals with </w:t>
            </w:r>
            <w:r w:rsidR="00550FFC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some </w:t>
            </w:r>
            <w:r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experience in the bituminous industry. </w:t>
            </w:r>
            <w:r w:rsidR="00386058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</w:t>
            </w:r>
            <w:r w:rsidR="00751045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On completion of the </w:t>
            </w:r>
            <w:r w:rsidR="00550FFC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three-day</w:t>
            </w:r>
            <w:r w:rsidR="00751045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training, you will receive a</w:t>
            </w:r>
            <w:r w:rsidR="00ED6CF7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C</w:t>
            </w:r>
            <w:r w:rsidR="00751045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ertificate </w:t>
            </w:r>
            <w:r w:rsidR="00386058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of Competence </w:t>
            </w:r>
            <w:r w:rsidR="00751045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valid for 3 years*</w:t>
            </w:r>
            <w:r w:rsidR="00533422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C1F32B1" w14:textId="03E8A3B2" w:rsidR="00533422" w:rsidRPr="00A03F35" w:rsidRDefault="00533422" w:rsidP="00F8676D">
            <w:pPr>
              <w:ind w:left="142"/>
              <w:jc w:val="both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</w:p>
          <w:p w14:paraId="523DAE01" w14:textId="4CB539CC" w:rsidR="00127577" w:rsidRPr="00A03F35" w:rsidRDefault="00533422" w:rsidP="00F8676D">
            <w:pPr>
              <w:ind w:left="142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Kindly complete the </w:t>
            </w:r>
            <w:hyperlink r:id="rId7" w:history="1">
              <w:r w:rsidR="00797023" w:rsidRPr="00797023">
                <w:rPr>
                  <w:rStyle w:val="Hyperlink"/>
                  <w:rFonts w:ascii="Georgia" w:eastAsia="Times New Roman" w:hAnsi="Georgia" w:cs="Times New Roman"/>
                  <w:i/>
                  <w:iCs/>
                  <w:sz w:val="20"/>
                  <w:szCs w:val="20"/>
                </w:rPr>
                <w:t xml:space="preserve">online </w:t>
              </w:r>
              <w:r w:rsidRPr="00797023">
                <w:rPr>
                  <w:rStyle w:val="Hyperlink"/>
                  <w:rFonts w:ascii="Georgia" w:eastAsia="Times New Roman" w:hAnsi="Georgia" w:cs="Times New Roman"/>
                  <w:i/>
                  <w:iCs/>
                  <w:sz w:val="20"/>
                  <w:szCs w:val="20"/>
                </w:rPr>
                <w:t>registration form</w:t>
              </w:r>
            </w:hyperlink>
            <w:r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and return to us for processing. </w:t>
            </w:r>
            <w:r w:rsidR="00EB4C24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This course will be </w:t>
            </w:r>
            <w:r w:rsidR="00111B48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hosted</w:t>
            </w:r>
            <w:r w:rsidR="00EB4C24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onlin</w:t>
            </w:r>
            <w:r w:rsidR="00111B48"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e so you would need a secure internet connection for the duration of the course. </w:t>
            </w:r>
          </w:p>
          <w:p w14:paraId="061EC45B" w14:textId="4C2CA97E" w:rsidR="00DF536D" w:rsidRPr="00A03F35" w:rsidRDefault="00533422" w:rsidP="00F8676D">
            <w:pPr>
              <w:ind w:left="142"/>
              <w:rPr>
                <w:rFonts w:ascii="Georgia" w:eastAsia="Times New Roman" w:hAnsi="Georgia" w:cs="Helvetica"/>
                <w:i/>
                <w:iCs/>
                <w:sz w:val="20"/>
                <w:szCs w:val="20"/>
              </w:rPr>
            </w:pPr>
            <w:r w:rsidRPr="00A03F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2AF3963" w14:textId="1E92E49E" w:rsidR="00912DED" w:rsidRPr="00A03F35" w:rsidRDefault="00995D7E" w:rsidP="00111B48">
            <w:pPr>
              <w:ind w:left="142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</w:pPr>
            <w:r w:rsidRPr="00A03F35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>The cost for Sabita members is R</w:t>
            </w:r>
            <w:r w:rsidR="00EB4C24" w:rsidRPr="00A03F35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>7240</w:t>
            </w:r>
            <w:r w:rsidRPr="00A03F35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>/non-members R</w:t>
            </w:r>
            <w:r w:rsidR="00EB4C24" w:rsidRPr="00A03F35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>8250</w:t>
            </w:r>
            <w:r w:rsidRPr="00A03F35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A03F35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>incl</w:t>
            </w:r>
            <w:proofErr w:type="spellEnd"/>
            <w:r w:rsidRPr="00A03F35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 xml:space="preserve"> VAT)</w:t>
            </w:r>
          </w:p>
          <w:p w14:paraId="34D4B5A7" w14:textId="0BC15F4B" w:rsidR="00247CE2" w:rsidRDefault="002E454B" w:rsidP="00A03F35">
            <w:pPr>
              <w:ind w:left="142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This is the </w:t>
            </w:r>
            <w:r w:rsidR="00C20B82">
              <w:rPr>
                <w:rFonts w:ascii="Georgia" w:eastAsia="Times New Roman" w:hAnsi="Georgia" w:cs="Times New Roman"/>
                <w:i/>
                <w:sz w:val="20"/>
                <w:szCs w:val="20"/>
              </w:rPr>
              <w:t>last</w:t>
            </w:r>
            <w:r w:rsidR="00435D60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training session for </w:t>
            </w:r>
            <w:r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>20</w:t>
            </w:r>
            <w:r w:rsidR="00D06B7F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>2</w:t>
            </w:r>
            <w:r w:rsidR="00A03F35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>3</w:t>
            </w:r>
            <w:r w:rsidR="00995D7E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</w:t>
            </w:r>
            <w:r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and you are encouraged to register </w:t>
            </w:r>
            <w:r w:rsidR="0037229B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as soon as possible. </w:t>
            </w:r>
            <w:r w:rsidR="00912DED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The training </w:t>
            </w:r>
            <w:r w:rsidR="00C46C64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>material consists</w:t>
            </w:r>
            <w:r w:rsidR="00CB349A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of a </w:t>
            </w:r>
            <w:r w:rsidR="002025A0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>lecturer’s</w:t>
            </w:r>
            <w:r w:rsidR="00CB349A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guide, trainee notes, and </w:t>
            </w:r>
            <w:r w:rsidR="00912DED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is complemented by </w:t>
            </w:r>
            <w:r w:rsidR="00E54C81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>videos</w:t>
            </w:r>
            <w:r w:rsidR="00C46C64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and</w:t>
            </w:r>
            <w:r w:rsidR="00912DED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A1 laminated </w:t>
            </w:r>
            <w:r w:rsidR="00C46C64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>posters t</w:t>
            </w:r>
            <w:r w:rsidR="00290397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>o</w:t>
            </w:r>
            <w:r w:rsidR="00C46C64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reinforce</w:t>
            </w:r>
            <w:r w:rsidR="00912DED" w:rsidRPr="00A03F3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the core safety message.</w:t>
            </w:r>
          </w:p>
          <w:p w14:paraId="449B9D76" w14:textId="6D2B6529" w:rsidR="00CB3E6B" w:rsidRPr="00A03F35" w:rsidRDefault="00CB3E6B" w:rsidP="00A03F35">
            <w:pPr>
              <w:ind w:left="142"/>
              <w:rPr>
                <w:rFonts w:ascii="Georgia" w:hAnsi="Georgia"/>
                <w:sz w:val="20"/>
                <w:szCs w:val="20"/>
              </w:rPr>
            </w:pPr>
          </w:p>
        </w:tc>
      </w:tr>
      <w:tr w:rsidR="007F7730" w:rsidRPr="00CB3E6B" w14:paraId="650AFD8B" w14:textId="77777777" w:rsidTr="00256EA9">
        <w:trPr>
          <w:jc w:val="center"/>
        </w:trPr>
        <w:tc>
          <w:tcPr>
            <w:tcW w:w="9433" w:type="dxa"/>
            <w:shd w:val="clear" w:color="auto" w:fill="1F497D" w:themeFill="text2"/>
          </w:tcPr>
          <w:p w14:paraId="511B15CC" w14:textId="77777777" w:rsidR="00B25F34" w:rsidRPr="00586052" w:rsidRDefault="00B25F34" w:rsidP="00057D39">
            <w:pPr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</w:p>
          <w:p w14:paraId="2AB32172" w14:textId="568B1F79" w:rsidR="00B25F34" w:rsidRPr="00586052" w:rsidRDefault="00B25F34" w:rsidP="00057D39">
            <w:pPr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586052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 xml:space="preserve">This is the ONLY bituminous products safe handling course of its kind in </w:t>
            </w:r>
            <w:r w:rsidR="00256EA9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SA</w:t>
            </w:r>
            <w:r w:rsidR="00256EA9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br/>
            </w:r>
            <w:r w:rsidR="00111B48" w:rsidRPr="00586052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EB6D9A" w:rsidRPr="00586052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 xml:space="preserve">Apply </w:t>
            </w:r>
            <w:r w:rsidR="001356A2" w:rsidRPr="00586052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now.</w:t>
            </w:r>
            <w:r w:rsidR="00CB3E6B" w:rsidRPr="00586052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  <w:p w14:paraId="5FF9F045" w14:textId="091A6E12" w:rsidR="00CB349A" w:rsidRPr="00586052" w:rsidRDefault="00057D39" w:rsidP="00057D39">
            <w:pPr>
              <w:jc w:val="center"/>
              <w:rPr>
                <w:rStyle w:val="Hyperlink"/>
                <w:rFonts w:ascii="Georgia" w:hAnsi="Georgia"/>
                <w:bCs/>
                <w:i/>
                <w:color w:val="FFFFFF" w:themeColor="background1"/>
                <w:sz w:val="20"/>
                <w:szCs w:val="20"/>
              </w:rPr>
            </w:pPr>
            <w:r w:rsidRPr="00586052">
              <w:rPr>
                <w:rFonts w:ascii="Georgia" w:hAnsi="Georgia"/>
                <w:bCs/>
                <w:i/>
                <w:color w:val="FFFFFF" w:themeColor="background1"/>
                <w:sz w:val="20"/>
                <w:szCs w:val="20"/>
              </w:rPr>
              <w:t>To secure your seat for th</w:t>
            </w:r>
            <w:r w:rsidR="00A17681" w:rsidRPr="00586052">
              <w:rPr>
                <w:rFonts w:ascii="Georgia" w:hAnsi="Georgia"/>
                <w:bCs/>
                <w:i/>
                <w:color w:val="FFFFFF" w:themeColor="background1"/>
                <w:sz w:val="20"/>
                <w:szCs w:val="20"/>
              </w:rPr>
              <w:t>is</w:t>
            </w:r>
            <w:r w:rsidRPr="00586052">
              <w:rPr>
                <w:rFonts w:ascii="Georgia" w:hAnsi="Georgia"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435D60" w:rsidRPr="00586052">
              <w:rPr>
                <w:rFonts w:ascii="Georgia" w:hAnsi="Georgia"/>
                <w:bCs/>
                <w:i/>
                <w:color w:val="FFFFFF" w:themeColor="background1"/>
                <w:sz w:val="20"/>
                <w:szCs w:val="20"/>
              </w:rPr>
              <w:t>three-day</w:t>
            </w:r>
            <w:r w:rsidRPr="00586052">
              <w:rPr>
                <w:rFonts w:ascii="Georgia" w:hAnsi="Georgia"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751045" w:rsidRPr="00586052">
              <w:rPr>
                <w:rFonts w:ascii="Georgia" w:hAnsi="Georgia"/>
                <w:bCs/>
                <w:i/>
                <w:color w:val="FFFFFF" w:themeColor="background1"/>
                <w:sz w:val="20"/>
                <w:szCs w:val="20"/>
              </w:rPr>
              <w:t xml:space="preserve">ONLINE </w:t>
            </w:r>
            <w:r w:rsidRPr="00586052">
              <w:rPr>
                <w:rFonts w:ascii="Georgia" w:hAnsi="Georgia"/>
                <w:bCs/>
                <w:i/>
                <w:color w:val="FFFFFF" w:themeColor="background1"/>
                <w:sz w:val="20"/>
                <w:szCs w:val="20"/>
              </w:rPr>
              <w:t xml:space="preserve">training course, contact </w:t>
            </w:r>
            <w:r w:rsidRPr="00586052">
              <w:rPr>
                <w:rFonts w:ascii="Georgia" w:hAnsi="Georgia"/>
                <w:bCs/>
                <w:i/>
                <w:color w:val="FFFFFF" w:themeColor="background1"/>
                <w:sz w:val="20"/>
                <w:szCs w:val="20"/>
              </w:rPr>
              <w:br/>
              <w:t xml:space="preserve">Lorraine Wagner on 021 5312718 or email </w:t>
            </w:r>
            <w:hyperlink r:id="rId8" w:history="1">
              <w:r w:rsidRPr="00586052">
                <w:rPr>
                  <w:rStyle w:val="Hyperlink"/>
                  <w:rFonts w:ascii="Georgia" w:hAnsi="Georgia"/>
                  <w:bCs/>
                  <w:i/>
                  <w:color w:val="FFFFFF" w:themeColor="background1"/>
                  <w:sz w:val="20"/>
                  <w:szCs w:val="20"/>
                </w:rPr>
                <w:t>lewagner@sabita.co.za</w:t>
              </w:r>
            </w:hyperlink>
          </w:p>
          <w:p w14:paraId="59D54027" w14:textId="1E96273A" w:rsidR="00057D39" w:rsidRPr="00CB3E6B" w:rsidRDefault="00F4657F" w:rsidP="00CB3E6B">
            <w:pPr>
              <w:jc w:val="center"/>
              <w:rPr>
                <w:rFonts w:ascii="Georgia" w:hAnsi="Georgia"/>
                <w:color w:val="FFFFFF" w:themeColor="background1"/>
                <w:sz w:val="20"/>
                <w:szCs w:val="20"/>
              </w:rPr>
            </w:pPr>
            <w:r w:rsidRPr="00586052">
              <w:rPr>
                <w:rStyle w:val="Hyperlink"/>
                <w:rFonts w:ascii="Georgia" w:hAnsi="Georgia"/>
                <w:bCs/>
                <w:color w:val="FFFFFF" w:themeColor="background1"/>
                <w:sz w:val="20"/>
                <w:szCs w:val="20"/>
                <w:u w:val="none"/>
              </w:rPr>
              <w:t>Website:</w:t>
            </w:r>
            <w:r w:rsidRPr="00586052">
              <w:rPr>
                <w:rStyle w:val="Hyperlink"/>
                <w:rFonts w:ascii="Georgia" w:hAnsi="Georgia"/>
                <w:bCs/>
                <w:i/>
                <w:color w:val="FFFFFF" w:themeColor="background1"/>
                <w:sz w:val="20"/>
                <w:szCs w:val="20"/>
              </w:rPr>
              <w:t xml:space="preserve">  </w:t>
            </w:r>
            <w:hyperlink r:id="rId9" w:history="1">
              <w:r w:rsidR="0006098E" w:rsidRPr="00586052">
                <w:rPr>
                  <w:rStyle w:val="Hyperlink"/>
                  <w:rFonts w:ascii="Georgia" w:hAnsi="Georgia"/>
                  <w:bCs/>
                  <w:i/>
                  <w:color w:val="FFFFFF" w:themeColor="background1"/>
                  <w:sz w:val="20"/>
                  <w:szCs w:val="20"/>
                </w:rPr>
                <w:t>www.asphaltacademy.co.za</w:t>
              </w:r>
            </w:hyperlink>
            <w:r w:rsidRPr="00586052">
              <w:rPr>
                <w:rStyle w:val="Hyperlink"/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2FF1BD9C" w14:textId="4EE5AAD5" w:rsidR="005F0B34" w:rsidRPr="00586052" w:rsidRDefault="00586052" w:rsidP="00586052">
      <w:pPr>
        <w:pStyle w:val="ListParagraph"/>
        <w:rPr>
          <w:b/>
          <w:bCs/>
          <w:i/>
          <w:iCs/>
          <w:sz w:val="20"/>
          <w:szCs w:val="20"/>
        </w:rPr>
      </w:pPr>
      <w:r w:rsidRPr="00586052">
        <w:rPr>
          <w:b/>
          <w:bCs/>
          <w:i/>
          <w:iCs/>
          <w:sz w:val="20"/>
          <w:szCs w:val="20"/>
        </w:rPr>
        <w:t>*T&amp;</w:t>
      </w:r>
      <w:proofErr w:type="gramStart"/>
      <w:r w:rsidRPr="00586052">
        <w:rPr>
          <w:b/>
          <w:bCs/>
          <w:i/>
          <w:iCs/>
          <w:sz w:val="20"/>
          <w:szCs w:val="20"/>
        </w:rPr>
        <w:t>C’s</w:t>
      </w:r>
      <w:proofErr w:type="gramEnd"/>
      <w:r w:rsidRPr="00586052">
        <w:rPr>
          <w:b/>
          <w:bCs/>
          <w:i/>
          <w:iCs/>
          <w:sz w:val="20"/>
          <w:szCs w:val="20"/>
        </w:rPr>
        <w:t xml:space="preserve"> apply</w:t>
      </w:r>
    </w:p>
    <w:sectPr w:rsidR="005F0B34" w:rsidRPr="00586052" w:rsidSect="00CB3E6B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624D8"/>
    <w:multiLevelType w:val="hybridMultilevel"/>
    <w:tmpl w:val="1B8C20DA"/>
    <w:lvl w:ilvl="0" w:tplc="DFFC6272">
      <w:start w:val="23"/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25D2C"/>
    <w:multiLevelType w:val="hybridMultilevel"/>
    <w:tmpl w:val="3C727084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E36548D"/>
    <w:multiLevelType w:val="hybridMultilevel"/>
    <w:tmpl w:val="F1EC964C"/>
    <w:lvl w:ilvl="0" w:tplc="59EE734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B22F9"/>
    <w:multiLevelType w:val="hybridMultilevel"/>
    <w:tmpl w:val="990A9FBE"/>
    <w:lvl w:ilvl="0" w:tplc="4692DA0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81963"/>
    <w:multiLevelType w:val="hybridMultilevel"/>
    <w:tmpl w:val="6040EB46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EB10FD9"/>
    <w:multiLevelType w:val="hybridMultilevel"/>
    <w:tmpl w:val="9DE26FC8"/>
    <w:lvl w:ilvl="0" w:tplc="CA28009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E5757"/>
    <w:multiLevelType w:val="multilevel"/>
    <w:tmpl w:val="F26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9576075">
    <w:abstractNumId w:val="0"/>
  </w:num>
  <w:num w:numId="2" w16cid:durableId="1536313225">
    <w:abstractNumId w:val="3"/>
  </w:num>
  <w:num w:numId="3" w16cid:durableId="281573187">
    <w:abstractNumId w:val="6"/>
  </w:num>
  <w:num w:numId="4" w16cid:durableId="1056857540">
    <w:abstractNumId w:val="1"/>
  </w:num>
  <w:num w:numId="5" w16cid:durableId="465198481">
    <w:abstractNumId w:val="4"/>
  </w:num>
  <w:num w:numId="6" w16cid:durableId="1117682480">
    <w:abstractNumId w:val="2"/>
  </w:num>
  <w:num w:numId="7" w16cid:durableId="1008949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642"/>
    <w:rsid w:val="00053968"/>
    <w:rsid w:val="000560C1"/>
    <w:rsid w:val="00057D39"/>
    <w:rsid w:val="0006098E"/>
    <w:rsid w:val="000B6FED"/>
    <w:rsid w:val="000F27F2"/>
    <w:rsid w:val="00111B48"/>
    <w:rsid w:val="00127577"/>
    <w:rsid w:val="001356A2"/>
    <w:rsid w:val="00160134"/>
    <w:rsid w:val="001641E6"/>
    <w:rsid w:val="001A786C"/>
    <w:rsid w:val="002025A0"/>
    <w:rsid w:val="00247CE2"/>
    <w:rsid w:val="00256EA9"/>
    <w:rsid w:val="0026016A"/>
    <w:rsid w:val="00290397"/>
    <w:rsid w:val="002B2EE0"/>
    <w:rsid w:val="002E454B"/>
    <w:rsid w:val="0037229B"/>
    <w:rsid w:val="00386058"/>
    <w:rsid w:val="00397642"/>
    <w:rsid w:val="00435D60"/>
    <w:rsid w:val="00471F52"/>
    <w:rsid w:val="004965FE"/>
    <w:rsid w:val="00503F52"/>
    <w:rsid w:val="00533422"/>
    <w:rsid w:val="00550FFC"/>
    <w:rsid w:val="005735D2"/>
    <w:rsid w:val="00586052"/>
    <w:rsid w:val="005B4261"/>
    <w:rsid w:val="005D368B"/>
    <w:rsid w:val="005E20AD"/>
    <w:rsid w:val="005F0B34"/>
    <w:rsid w:val="00647407"/>
    <w:rsid w:val="00671971"/>
    <w:rsid w:val="006A3BAB"/>
    <w:rsid w:val="006A64AC"/>
    <w:rsid w:val="00726EE0"/>
    <w:rsid w:val="00751045"/>
    <w:rsid w:val="00797023"/>
    <w:rsid w:val="007F7730"/>
    <w:rsid w:val="00872A68"/>
    <w:rsid w:val="00912DED"/>
    <w:rsid w:val="00952A12"/>
    <w:rsid w:val="00954819"/>
    <w:rsid w:val="00995D7E"/>
    <w:rsid w:val="00A0255C"/>
    <w:rsid w:val="00A03F35"/>
    <w:rsid w:val="00A17681"/>
    <w:rsid w:val="00A744CF"/>
    <w:rsid w:val="00B24570"/>
    <w:rsid w:val="00B25F34"/>
    <w:rsid w:val="00B62C85"/>
    <w:rsid w:val="00B64B0B"/>
    <w:rsid w:val="00B93A3F"/>
    <w:rsid w:val="00BA6659"/>
    <w:rsid w:val="00BB6C94"/>
    <w:rsid w:val="00BC1EB4"/>
    <w:rsid w:val="00BE1BFD"/>
    <w:rsid w:val="00C03DEF"/>
    <w:rsid w:val="00C20B82"/>
    <w:rsid w:val="00C3542C"/>
    <w:rsid w:val="00C46C64"/>
    <w:rsid w:val="00C46F7B"/>
    <w:rsid w:val="00CB349A"/>
    <w:rsid w:val="00CB3E6B"/>
    <w:rsid w:val="00CD429D"/>
    <w:rsid w:val="00CE42FA"/>
    <w:rsid w:val="00D04FD7"/>
    <w:rsid w:val="00D06B7F"/>
    <w:rsid w:val="00D153CB"/>
    <w:rsid w:val="00D53BFF"/>
    <w:rsid w:val="00D76E60"/>
    <w:rsid w:val="00DE2F71"/>
    <w:rsid w:val="00DF536D"/>
    <w:rsid w:val="00E04B39"/>
    <w:rsid w:val="00E54C81"/>
    <w:rsid w:val="00EB4C24"/>
    <w:rsid w:val="00EB6D9A"/>
    <w:rsid w:val="00ED6CF7"/>
    <w:rsid w:val="00EF4FB9"/>
    <w:rsid w:val="00EF6A19"/>
    <w:rsid w:val="00F43C9D"/>
    <w:rsid w:val="00F4657F"/>
    <w:rsid w:val="00F72782"/>
    <w:rsid w:val="00F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EBE9F"/>
  <w15:docId w15:val="{914A7831-AF07-4791-A4FB-39B562D7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6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536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60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wagner@sabita.co.z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sphaltacademy.co.za/bitsafe-trainer-application-form_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phaltacademy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F42F-4F0B-4301-BCF4-87CC2A98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Wagner</dc:creator>
  <cp:lastModifiedBy>Lorraine Wagner</cp:lastModifiedBy>
  <cp:revision>2</cp:revision>
  <cp:lastPrinted>2020-12-14T10:13:00Z</cp:lastPrinted>
  <dcterms:created xsi:type="dcterms:W3CDTF">2023-09-27T08:05:00Z</dcterms:created>
  <dcterms:modified xsi:type="dcterms:W3CDTF">2023-09-27T08:05:00Z</dcterms:modified>
</cp:coreProperties>
</file>